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80214" cy="410680"/>
            <wp:effectExtent b="0" l="0" r="0" t="0"/>
            <wp:wrapSquare wrapText="bothSides" distB="0" distT="0" distL="114300" distR="114300"/>
            <wp:docPr descr="Изображение выглядит как рисунок, еда&#10;&#10;Автоматически созданное описание" id="1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рисунок, еда&#10;&#10;Автоматически созданное описание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41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ab/>
        <w:t xml:space="preserve">Приложение №1 к Договору-оферте на оказание образовательных услуг в ред. от 02.05.2024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02.05.2024 г. (по программе «Неуспеваемость и трудное поведение в школе: причины возникновения и методы коррекции»),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highlight w:val="white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«Неуспеваемость и трудное поведение в школе: причины возникновения и методы коррекции», 72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Форма обучения – заочная с применением электронного обучения и дистанционных образовательных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3. СНИЛС;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4.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Я принимаю условия Договора оферты на оказание образовательных услуг ООО «Учи.ру» в ред. от 02.05.2024 г. (по программе «Неуспеваемость и трудное поведение в школе: причины возникновения и методы коррекции»), а также соглашаюсь на обработку персональных данных.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du.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